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2EE3D6F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77F9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4705EA4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7AB14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B23B7" w14:textId="77777777" w:rsidR="000779C2" w:rsidRDefault="000779C2" w:rsidP="009A68CA"/>
        </w:tc>
      </w:tr>
      <w:tr w:rsidR="000779C2" w14:paraId="4411AAB3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9E54F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DEEC07" w14:textId="77777777" w:rsidR="000779C2" w:rsidRDefault="000779C2" w:rsidP="009A68CA"/>
        </w:tc>
      </w:tr>
    </w:tbl>
    <w:p w14:paraId="74CE6CEA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2E354FAF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E3EBE05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E13E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80CB0AA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9E2445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864D4F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793555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52B572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4AB7E9" w14:textId="77777777" w:rsidR="00AD2FB4" w:rsidRDefault="000E31E3" w:rsidP="007E13E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E13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Rodney Carmack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7E37B2" w14:textId="77777777" w:rsidR="00AD2FB4" w:rsidRDefault="00322447" w:rsidP="002503D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4/11/2019</w:t>
                      </w:r>
                    </w:p>
                  </w:tc>
                </w:sdtContent>
              </w:sdt>
            </w:tr>
          </w:tbl>
          <w:p w14:paraId="6ABBEC9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ED9A1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70CF6E" w14:textId="77777777" w:rsidR="00AD2FB4" w:rsidRDefault="000E31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5477983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47798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0D296B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3D3E7F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634B873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B1D90F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3CF3B1" w14:textId="77777777" w:rsidR="00AD2FB4" w:rsidRDefault="000E31E3" w:rsidP="006B4D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B4D1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5DC364" w14:textId="77777777" w:rsidR="00AD2FB4" w:rsidRDefault="006B4D13" w:rsidP="002503D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4/11/2019</w:t>
                      </w:r>
                    </w:p>
                  </w:tc>
                </w:sdtContent>
              </w:sdt>
            </w:tr>
          </w:tbl>
          <w:p w14:paraId="58504CE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DEA91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A3BBC0" w14:textId="77777777" w:rsidR="00AD2FB4" w:rsidRDefault="000E31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896609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96609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366693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089512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61E91E0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A52EF4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39015BC" w14:textId="77777777" w:rsidR="00AD2FB4" w:rsidRDefault="000E31E3" w:rsidP="0070331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0331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Eric Sims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9EC0B0" w14:textId="77777777" w:rsidR="00AD2FB4" w:rsidRDefault="00703314" w:rsidP="0070331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4/12/2019</w:t>
                      </w:r>
                    </w:p>
                  </w:tc>
                </w:sdtContent>
              </w:sdt>
            </w:tr>
          </w:tbl>
          <w:p w14:paraId="6AB2AB1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4FB838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359AC6D" w14:textId="77777777" w:rsidR="00AD2FB4" w:rsidRDefault="000E31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66824948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682494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38B81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F0BF5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D77E61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1540"/>
            </w:tblGrid>
            <w:tr w:rsidR="00AD2FB4" w14:paraId="750DCE88" w14:textId="77777777" w:rsidTr="0075725E">
              <w:trPr>
                <w:trHeight w:val="113"/>
              </w:trPr>
              <w:tc>
                <w:tcPr>
                  <w:tcW w:w="3495" w:type="dxa"/>
                  <w:vAlign w:val="bottom"/>
                </w:tcPr>
                <w:p w14:paraId="4732FACB" w14:textId="77777777" w:rsidR="00AD2FB4" w:rsidRDefault="000E31E3" w:rsidP="0075725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5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Jim </w:t>
                      </w:r>
                      <w:proofErr w:type="spellStart"/>
                      <w:r w:rsidR="0075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Washam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40" w:type="dxa"/>
                      <w:vAlign w:val="bottom"/>
                    </w:tcPr>
                    <w:p w14:paraId="09CC1351" w14:textId="77777777" w:rsidR="00AD2FB4" w:rsidRDefault="0075725E" w:rsidP="0075725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April 12, 2019</w:t>
                      </w:r>
                    </w:p>
                  </w:tc>
                </w:sdtContent>
              </w:sdt>
            </w:tr>
          </w:tbl>
          <w:p w14:paraId="2DB93BE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CF0D3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3B05F9" w14:textId="77777777" w:rsidR="00AD2FB4" w:rsidRDefault="000E31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1107075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07075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60F62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3A6D1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0B283C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C5D8803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C2FF49" w14:textId="77777777" w:rsidR="000F2A51" w:rsidRDefault="000E31E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1998611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99861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2C861D2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37A2F2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43C83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72FF2C" w14:textId="77777777" w:rsidR="00AD2FB4" w:rsidRDefault="000E31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385620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85620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B40BF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090DE7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B76EE6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CA5597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E65CE80" w14:textId="77777777" w:rsidR="006E6FEC" w:rsidRDefault="002503D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Rodney Carmack, </w:t>
          </w:r>
          <w:hyperlink r:id="rId8" w:history="1">
            <w:r w:rsidRPr="00A61C1B">
              <w:rPr>
                <w:rStyle w:val="Hyperlink"/>
                <w:rFonts w:asciiTheme="majorHAnsi" w:hAnsiTheme="majorHAnsi" w:cs="Arial"/>
                <w:sz w:val="20"/>
                <w:szCs w:val="20"/>
              </w:rPr>
              <w:t>rcarmack@astate.edu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870-972-3038</w:t>
          </w:r>
        </w:p>
      </w:sdtContent>
    </w:sdt>
    <w:p w14:paraId="42AFB4A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9B3492E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E0B5EFA" w14:textId="77777777" w:rsidR="002E3FC9" w:rsidRDefault="002503D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Update bulletin to reflect current course requirements for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Bachelor’s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of Science in Accounting degree.</w:t>
          </w:r>
        </w:p>
      </w:sdtContent>
    </w:sdt>
    <w:p w14:paraId="35475A90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D6A1391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97D5F91" w14:textId="77777777" w:rsidR="002E3FC9" w:rsidRDefault="00567D8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</w:t>
          </w:r>
          <w:r w:rsidR="002503D1">
            <w:rPr>
              <w:rFonts w:asciiTheme="majorHAnsi" w:hAnsiTheme="majorHAnsi" w:cs="Arial"/>
              <w:sz w:val="20"/>
              <w:szCs w:val="20"/>
            </w:rPr>
            <w:t>19</w:t>
          </w:r>
        </w:p>
      </w:sdtContent>
    </w:sdt>
    <w:p w14:paraId="19C818DE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6EB24C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DBAE98C" w14:textId="77777777" w:rsidR="002E3FC9" w:rsidRDefault="002503D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implementation of the 15-week semester provided the opportunity to refine the Bachelor’s degree in Accounting to incorporate </w:t>
          </w:r>
          <w:r w:rsidR="00B21A2D">
            <w:rPr>
              <w:rFonts w:asciiTheme="majorHAnsi" w:hAnsiTheme="majorHAnsi" w:cs="Arial"/>
              <w:sz w:val="20"/>
              <w:szCs w:val="20"/>
            </w:rPr>
            <w:t xml:space="preserve">training in the use of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the latest tools in the field. This restructuring included deletion of one course and adding another to the degree program, as well as </w:t>
          </w:r>
          <w:r w:rsidR="00B21A2D">
            <w:rPr>
              <w:rFonts w:asciiTheme="majorHAnsi" w:hAnsiTheme="majorHAnsi" w:cs="Arial"/>
              <w:sz w:val="20"/>
              <w:szCs w:val="20"/>
            </w:rPr>
            <w:t>making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others require</w:t>
          </w:r>
          <w:r w:rsidR="00B21A2D">
            <w:rPr>
              <w:rFonts w:asciiTheme="majorHAnsi" w:hAnsiTheme="majorHAnsi" w:cs="Arial"/>
              <w:sz w:val="20"/>
              <w:szCs w:val="20"/>
            </w:rPr>
            <w:t>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(which were previously listed as electives)</w:t>
          </w:r>
          <w:r w:rsidR="007E13E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769E74D3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F4C21B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14:paraId="43C75E9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284F6C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1096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69"/>
      </w:tblGrid>
      <w:tr w:rsidR="00CD7510" w:rsidRPr="008426D1" w14:paraId="5B716701" w14:textId="77777777" w:rsidTr="00567D87">
        <w:trPr>
          <w:trHeight w:val="328"/>
        </w:trPr>
        <w:tc>
          <w:tcPr>
            <w:tcW w:w="10969" w:type="dxa"/>
            <w:shd w:val="clear" w:color="auto" w:fill="D9D9D9" w:themeFill="background1" w:themeFillShade="D9"/>
          </w:tcPr>
          <w:p w14:paraId="51FC69B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CDF221E" w14:textId="77777777" w:rsidTr="00567D87">
        <w:trPr>
          <w:trHeight w:val="5085"/>
        </w:trPr>
        <w:tc>
          <w:tcPr>
            <w:tcW w:w="10969" w:type="dxa"/>
            <w:shd w:val="clear" w:color="auto" w:fill="F2F2F2" w:themeFill="background1" w:themeFillShade="F2"/>
          </w:tcPr>
          <w:p w14:paraId="2889680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A69C0F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61DBD4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DF3CB1A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CC36AA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FDF6A1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8F539D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2B8A5F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0C43C7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3516AF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582552F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EEBB7A1" wp14:editId="43F07FE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40ACDC9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D85461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72CCE7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CF95E8F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25AD57B0" w14:textId="77777777" w:rsidR="002503D1" w:rsidRDefault="002503D1" w:rsidP="002503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t>Page 136</w:t>
          </w:r>
        </w:p>
        <w:p w14:paraId="0609B636" w14:textId="77777777" w:rsidR="002503D1" w:rsidRDefault="002503D1" w:rsidP="002503D1">
          <w:pPr>
            <w:rPr>
              <w:rFonts w:asciiTheme="majorHAnsi" w:hAnsiTheme="majorHAnsi" w:cs="Arial"/>
              <w:sz w:val="18"/>
              <w:szCs w:val="18"/>
            </w:rPr>
          </w:pPr>
        </w:p>
        <w:p w14:paraId="3D9FDCBB" w14:textId="77777777" w:rsidR="002503D1" w:rsidRDefault="002503D1" w:rsidP="002503D1">
          <w:pPr>
            <w:kinsoku w:val="0"/>
            <w:overflowPunct w:val="0"/>
            <w:autoSpaceDE w:val="0"/>
            <w:autoSpaceDN w:val="0"/>
            <w:adjustRightInd w:val="0"/>
            <w:spacing w:before="6" w:after="0" w:line="240" w:lineRule="auto"/>
            <w:ind w:left="84" w:right="84"/>
            <w:jc w:val="center"/>
            <w:rPr>
              <w:rFonts w:ascii="Arial Narrow" w:hAnsi="Arial Narrow" w:cs="Arial Narrow"/>
              <w:b/>
              <w:bCs/>
              <w:color w:val="231F20"/>
              <w:sz w:val="32"/>
              <w:szCs w:val="32"/>
            </w:rPr>
          </w:pPr>
          <w:r>
            <w:rPr>
              <w:rFonts w:ascii="Arial Narrow" w:hAnsi="Arial Narrow" w:cs="Arial Narrow"/>
              <w:b/>
              <w:bCs/>
              <w:color w:val="231F20"/>
              <w:sz w:val="32"/>
              <w:szCs w:val="32"/>
            </w:rPr>
            <w:t>Major in Accounting</w:t>
          </w:r>
        </w:p>
        <w:p w14:paraId="38E3C4BB" w14:textId="77777777" w:rsidR="002503D1" w:rsidRDefault="002503D1" w:rsidP="002503D1">
          <w:pPr>
            <w:kinsoku w:val="0"/>
            <w:overflowPunct w:val="0"/>
            <w:autoSpaceDE w:val="0"/>
            <w:autoSpaceDN w:val="0"/>
            <w:adjustRightInd w:val="0"/>
            <w:spacing w:before="12" w:after="0" w:line="240" w:lineRule="auto"/>
            <w:ind w:left="84" w:right="84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 Science</w:t>
          </w:r>
        </w:p>
        <w:p w14:paraId="14FF08C3" w14:textId="77777777" w:rsidR="002503D1" w:rsidRDefault="002503D1" w:rsidP="002503D1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ind w:left="84" w:right="84"/>
            <w:jc w:val="center"/>
            <w:rPr>
              <w:rFonts w:ascii="Arial" w:hAnsi="Arial" w:cs="Arial"/>
              <w:color w:val="231F2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2" w:history="1">
            <w:r>
              <w:rPr>
                <w:rStyle w:val="Hyperlink"/>
                <w:rFonts w:ascii="Arial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16FFD79E" w14:textId="77777777" w:rsidR="002503D1" w:rsidRDefault="002503D1" w:rsidP="002503D1">
          <w:pPr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rPr>
              <w:rFonts w:ascii="Arial" w:hAnsi="Arial" w:cs="Arial"/>
              <w:sz w:val="11"/>
              <w:szCs w:val="11"/>
            </w:rPr>
          </w:pPr>
        </w:p>
        <w:tbl>
          <w:tblPr>
            <w:tblW w:w="0" w:type="auto"/>
            <w:tblInd w:w="578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059"/>
            <w:gridCol w:w="945"/>
          </w:tblGrid>
          <w:tr w:rsidR="002503D1" w14:paraId="02EC722F" w14:textId="77777777" w:rsidTr="002503D1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6FFF7368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5FB40A9" w14:textId="77777777" w:rsidR="002503D1" w:rsidRDefault="002503D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503D1" w14:paraId="41B69F55" w14:textId="77777777" w:rsidTr="002503D1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3E51FEF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44)</w:t>
                </w:r>
              </w:p>
              <w:p w14:paraId="4806E9C5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3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(For Neil Griffin College of Business requirements, see p. 133)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430228" w14:textId="77777777" w:rsidR="002503D1" w:rsidRDefault="002503D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2503D1" w14:paraId="13F7828A" w14:textId="77777777" w:rsidTr="002503D1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160B61D0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4DB42B8C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503D1" w14:paraId="59F55E3E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9579218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BUSN 1003, First Year Experience Business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F8C71C4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2503D1" w14:paraId="1F0A6350" w14:textId="77777777" w:rsidTr="002503D1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352D5BE6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282B4532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503D1" w14:paraId="1F43F999" w14:textId="77777777" w:rsidTr="002503D1">
            <w:trPr>
              <w:trHeight w:hRule="exact" w:val="125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90A6DD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89)</w:t>
                </w:r>
              </w:p>
              <w:p w14:paraId="045E4BF9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13"/>
                    <w:szCs w:val="13"/>
                  </w:rPr>
                </w:pPr>
              </w:p>
              <w:p w14:paraId="30954149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4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68F65F57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MATH 2143, Business Calculus with a “C” or better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OR</w:t>
                </w:r>
              </w:p>
              <w:p w14:paraId="4EB473EE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610"/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MATH 2194, Survey of Calculus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OR</w:t>
                </w:r>
              </w:p>
              <w:p w14:paraId="7BD05DCE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610"/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MATH 2204, Calculus I</w:t>
                </w:r>
              </w:p>
              <w:p w14:paraId="03AB9AB4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Principles of Macroeconomics</w:t>
                </w:r>
              </w:p>
              <w:p w14:paraId="695AB066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3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72E1E0F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2503D1" w14:paraId="794938A2" w14:textId="77777777" w:rsidTr="002503D1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0DCB1563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Neil Griffin College of Business Core Courses: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43003049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503D1" w14:paraId="082EEA9C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90E9012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 Business Section)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EB9C7B4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39</w:t>
                </w:r>
              </w:p>
            </w:tc>
          </w:tr>
          <w:tr w:rsidR="002503D1" w14:paraId="59F214B4" w14:textId="77777777" w:rsidTr="002503D1">
            <w:trPr>
              <w:trHeight w:hRule="exact" w:val="57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0AEB0837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  <w:p w14:paraId="75A6D987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1" w:after="0" w:line="130" w:lineRule="exact"/>
                  <w:ind w:left="1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Students must maintain a minimum GPA of 2.5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 grade of at least a “C” for each course in the major.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1CF40F0D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503D1" w14:paraId="1EBDC56F" w14:textId="77777777" w:rsidTr="002503D1">
            <w:trPr>
              <w:trHeight w:hRule="exact" w:val="425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71112F6" w14:textId="77777777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CIT 2033, Programming Fundamentals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5112B7B" w14:textId="77777777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</w:t>
                </w:r>
              </w:p>
            </w:tc>
          </w:tr>
          <w:tr w:rsidR="002503D1" w14:paraId="0B92E51D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14BEC31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ACCT 3003, Intermediate Accounting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8B10ED6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4DD09E75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D6C33F2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 3013, Intermediate Accounting 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B119D69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1A13051B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75BDC1F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ACCT 3033, Intermediate Accounting III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A18877F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trike/>
                    <w:color w:val="FF000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400077AA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6B79AEC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 3053, Cost Accounting with a Managerial Emphasis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CBF3FD4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06994161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CFB91D1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 4013, Tax Accounting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A15EFB2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706EE1D4" w14:textId="77777777" w:rsidTr="002503D1">
            <w:trPr>
              <w:trHeight w:hRule="exact" w:val="398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06DE52E" w14:textId="0DAA1BFD" w:rsidR="002503D1" w:rsidRPr="004730B9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</w:pPr>
                <w:r w:rsidRPr="004730B9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>ACCT 4023, Advanced Accounting</w:t>
                </w:r>
                <w:r w:rsidR="004730B9" w:rsidRPr="004730B9">
                  <w:rPr>
                    <w:rFonts w:ascii="Times New Roman" w:hAnsi="Times New Roman" w:cs="Times New Roman"/>
                    <w:color w:val="548DD4" w:themeColor="text2" w:themeTint="99"/>
                    <w:sz w:val="20"/>
                    <w:szCs w:val="20"/>
                  </w:rPr>
                  <w:t xml:space="preserve"> and International Issues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52FDDF5D" w14:textId="77777777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</w:t>
                </w:r>
              </w:p>
            </w:tc>
          </w:tr>
          <w:tr w:rsidR="002503D1" w14:paraId="6573C3FA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8DA6332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 4033, Accounting Information Systems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D1C65A2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129846F4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5323CA4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 4053, Auditing 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134D2BDC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2FA1F657" w14:textId="77777777" w:rsidTr="002503D1">
            <w:trPr>
              <w:trHeight w:hRule="exact" w:val="32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6E6C2AC" w14:textId="5E4C1F40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ACCT 4113, Tax </w:t>
                </w:r>
                <w:r w:rsidR="004730B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Accounting </w:t>
                </w:r>
                <w:bookmarkStart w:id="0" w:name="_GoBack"/>
                <w:bookmarkEnd w:id="0"/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II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DC73DFE" w14:textId="77777777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</w:t>
                </w:r>
              </w:p>
            </w:tc>
          </w:tr>
          <w:tr w:rsidR="002503D1" w14:paraId="0DB4F562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37442DE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 4123, Government and Not-For-Profit Accounting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4E3621A1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706B8B0B" w14:textId="77777777" w:rsidTr="002503D1">
            <w:trPr>
              <w:trHeight w:hRule="exact" w:val="389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236668C" w14:textId="77777777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ACCT 4183, Accounting Analytics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2C0900AC" w14:textId="77777777" w:rsidR="002503D1" w:rsidRDefault="002503D1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</w:t>
                </w:r>
              </w:p>
            </w:tc>
          </w:tr>
          <w:tr w:rsidR="002503D1" w14:paraId="7D4DFB60" w14:textId="77777777" w:rsidTr="002503D1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8C2068D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LAW 4043, Law of Business Organizations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6823C3E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2503D1" w14:paraId="7E05AB29" w14:textId="77777777" w:rsidTr="002503D1">
            <w:trPr>
              <w:trHeight w:hRule="exact" w:val="679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3B17E99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Upper-level Accounting Electives</w:t>
                </w:r>
              </w:p>
              <w:p w14:paraId="3B527CA3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7" w:lineRule="auto"/>
                  <w:ind w:left="340" w:right="63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strike/>
                    <w:color w:val="FF0000"/>
                    <w:sz w:val="12"/>
                    <w:szCs w:val="12"/>
                  </w:rPr>
                  <w:t>ACCT 3063, Hospitality Accounting, ACCT 4153, Fraud Examination, ACCT 430V, Special Problems in Accounting and ACCT 478V, Internship in Accounting MAY NOT be used to satisfy the Accounting Electives.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668456E0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trike/>
                    <w:color w:val="FF0000"/>
                    <w:w w:val="99"/>
                    <w:sz w:val="12"/>
                    <w:szCs w:val="12"/>
                  </w:rPr>
                  <w:t>6</w:t>
                </w:r>
              </w:p>
            </w:tc>
          </w:tr>
          <w:tr w:rsidR="002503D1" w14:paraId="1A91A6F3" w14:textId="77777777" w:rsidTr="002503D1">
            <w:trPr>
              <w:trHeight w:hRule="exact" w:val="41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3A84314A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C63C536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32"/>
                  <w:jc w:val="center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33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36</w:t>
                </w:r>
              </w:p>
            </w:tc>
          </w:tr>
          <w:tr w:rsidR="002503D1" w14:paraId="2E18966A" w14:textId="77777777" w:rsidTr="002503D1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60BE7558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05A88C3C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2503D1" w14:paraId="3616E6B5" w14:textId="77777777" w:rsidTr="002503D1">
            <w:trPr>
              <w:trHeight w:hRule="exact" w:val="45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004F3854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hideMark/>
              </w:tcPr>
              <w:p w14:paraId="7A309D7E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10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7</w:t>
                </w:r>
              </w:p>
            </w:tc>
          </w:tr>
          <w:tr w:rsidR="002503D1" w14:paraId="2912B1EF" w14:textId="77777777" w:rsidTr="002503D1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279D8040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  <w:hideMark/>
              </w:tcPr>
              <w:p w14:paraId="604DF090" w14:textId="77777777" w:rsidR="002503D1" w:rsidRDefault="002503D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65" w:right="16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4D40EDB3" w14:textId="77777777" w:rsidR="00CD7510" w:rsidRPr="008426D1" w:rsidRDefault="000E31E3" w:rsidP="002503D1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CD7510" w:rsidRPr="008426D1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67E1" w14:textId="77777777" w:rsidR="000E31E3" w:rsidRDefault="000E31E3" w:rsidP="00AF3758">
      <w:pPr>
        <w:spacing w:after="0" w:line="240" w:lineRule="auto"/>
      </w:pPr>
      <w:r>
        <w:separator/>
      </w:r>
    </w:p>
  </w:endnote>
  <w:endnote w:type="continuationSeparator" w:id="0">
    <w:p w14:paraId="15AF194B" w14:textId="77777777" w:rsidR="000E31E3" w:rsidRDefault="000E31E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4CC6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DB61A2F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7E177751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25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B995" w14:textId="77777777" w:rsidR="000E31E3" w:rsidRDefault="000E31E3" w:rsidP="00AF3758">
      <w:pPr>
        <w:spacing w:after="0" w:line="240" w:lineRule="auto"/>
      </w:pPr>
      <w:r>
        <w:separator/>
      </w:r>
    </w:p>
  </w:footnote>
  <w:footnote w:type="continuationSeparator" w:id="0">
    <w:p w14:paraId="6063E08E" w14:textId="77777777" w:rsidR="000E31E3" w:rsidRDefault="000E31E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MzYzsTAyMDExNzFW0lEKTi0uzszPAykwrAUA+7M0KywAAAA="/>
    <w:docVar w:name="APWAFVersion" w:val="5.0"/>
  </w:docVars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E31E3"/>
    <w:rsid w:val="000F2A51"/>
    <w:rsid w:val="00103070"/>
    <w:rsid w:val="00116278"/>
    <w:rsid w:val="0014025C"/>
    <w:rsid w:val="0014798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03D1"/>
    <w:rsid w:val="00254447"/>
    <w:rsid w:val="00261ACE"/>
    <w:rsid w:val="00262156"/>
    <w:rsid w:val="00265C17"/>
    <w:rsid w:val="002776C2"/>
    <w:rsid w:val="002E3FC9"/>
    <w:rsid w:val="003126FF"/>
    <w:rsid w:val="00322447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0B9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67D87"/>
    <w:rsid w:val="005825BA"/>
    <w:rsid w:val="00584C22"/>
    <w:rsid w:val="00592A95"/>
    <w:rsid w:val="005B2E9E"/>
    <w:rsid w:val="005E05A3"/>
    <w:rsid w:val="006179CB"/>
    <w:rsid w:val="00636DB3"/>
    <w:rsid w:val="006657FB"/>
    <w:rsid w:val="00677A48"/>
    <w:rsid w:val="006B4D13"/>
    <w:rsid w:val="006B52C0"/>
    <w:rsid w:val="006D0246"/>
    <w:rsid w:val="006E6117"/>
    <w:rsid w:val="006E6FEC"/>
    <w:rsid w:val="00703314"/>
    <w:rsid w:val="00712045"/>
    <w:rsid w:val="0073025F"/>
    <w:rsid w:val="0073125A"/>
    <w:rsid w:val="00750AF6"/>
    <w:rsid w:val="0075725E"/>
    <w:rsid w:val="007A06B9"/>
    <w:rsid w:val="007B23B3"/>
    <w:rsid w:val="007E13E3"/>
    <w:rsid w:val="008003A7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C1EC1"/>
    <w:rsid w:val="00AD2FB4"/>
    <w:rsid w:val="00AF20FF"/>
    <w:rsid w:val="00AF3758"/>
    <w:rsid w:val="00AF3C6A"/>
    <w:rsid w:val="00B1628A"/>
    <w:rsid w:val="00B21A2D"/>
    <w:rsid w:val="00B24A85"/>
    <w:rsid w:val="00B35368"/>
    <w:rsid w:val="00B7606A"/>
    <w:rsid w:val="00BC52B0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2212B"/>
    <w:rsid w:val="00D250A6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96783"/>
    <w:rsid w:val="00EB4FF5"/>
    <w:rsid w:val="00EC6970"/>
    <w:rsid w:val="00ED6A64"/>
    <w:rsid w:val="00EE55A2"/>
    <w:rsid w:val="00EF2A44"/>
    <w:rsid w:val="00F00ACF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2D6D2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mack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www.astate.edu/info/academics/degre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3613E"/>
    <w:rsid w:val="00293680"/>
    <w:rsid w:val="00371DB3"/>
    <w:rsid w:val="003E4EBD"/>
    <w:rsid w:val="004027ED"/>
    <w:rsid w:val="004068B1"/>
    <w:rsid w:val="00444715"/>
    <w:rsid w:val="004B7262"/>
    <w:rsid w:val="004E1A75"/>
    <w:rsid w:val="00587536"/>
    <w:rsid w:val="005D5D2F"/>
    <w:rsid w:val="00623293"/>
    <w:rsid w:val="0062409E"/>
    <w:rsid w:val="00632CEE"/>
    <w:rsid w:val="00636142"/>
    <w:rsid w:val="0069772F"/>
    <w:rsid w:val="006C0858"/>
    <w:rsid w:val="00724E33"/>
    <w:rsid w:val="007B5EE7"/>
    <w:rsid w:val="007C429E"/>
    <w:rsid w:val="00874242"/>
    <w:rsid w:val="0088172E"/>
    <w:rsid w:val="0099436C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8330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dcterms:created xsi:type="dcterms:W3CDTF">2019-09-13T19:04:00Z</dcterms:created>
  <dcterms:modified xsi:type="dcterms:W3CDTF">2019-09-13T19:04:00Z</dcterms:modified>
</cp:coreProperties>
</file>